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C3123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3123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2623D1" w:rsidRDefault="00ED528E" w:rsidP="00E23E85">
      <w:pPr>
        <w:rPr>
          <w:rFonts w:asciiTheme="minorHAnsi" w:hAnsiTheme="minorHAnsi" w:cstheme="minorHAnsi"/>
          <w:b/>
        </w:rPr>
      </w:pPr>
    </w:p>
    <w:p w:rsidR="00E23E85" w:rsidRPr="00862F56" w:rsidRDefault="00E23E85" w:rsidP="00E23E85">
      <w:pPr>
        <w:jc w:val="both"/>
        <w:rPr>
          <w:rFonts w:asciiTheme="minorHAnsi" w:hAnsiTheme="minorHAnsi" w:cstheme="minorHAnsi"/>
          <w:b/>
        </w:rPr>
      </w:pPr>
      <w:r w:rsidRPr="00862F56">
        <w:rPr>
          <w:rFonts w:asciiTheme="minorHAnsi" w:hAnsiTheme="minorHAnsi" w:cstheme="minorHAnsi"/>
          <w:b/>
        </w:rPr>
        <w:t>Processo n.</w:t>
      </w:r>
      <w:r w:rsidR="00E67A48" w:rsidRPr="00862F56">
        <w:rPr>
          <w:rFonts w:asciiTheme="minorHAnsi" w:hAnsiTheme="minorHAnsi" w:cstheme="minorHAnsi"/>
          <w:b/>
        </w:rPr>
        <w:t xml:space="preserve"> </w:t>
      </w:r>
      <w:r w:rsidR="00862F56" w:rsidRPr="00862F56">
        <w:rPr>
          <w:rFonts w:asciiTheme="minorHAnsi" w:hAnsiTheme="minorHAnsi" w:cstheme="minorHAnsi"/>
          <w:b/>
        </w:rPr>
        <w:t>13933/2010.</w:t>
      </w:r>
    </w:p>
    <w:p w:rsidR="00E61B94" w:rsidRPr="00862F56" w:rsidRDefault="00E23E85" w:rsidP="00E23E85">
      <w:pPr>
        <w:jc w:val="both"/>
        <w:rPr>
          <w:rFonts w:asciiTheme="minorHAnsi" w:hAnsiTheme="minorHAnsi" w:cstheme="minorHAnsi"/>
          <w:b/>
        </w:rPr>
      </w:pPr>
      <w:r w:rsidRPr="00862F56">
        <w:rPr>
          <w:rFonts w:asciiTheme="minorHAnsi" w:hAnsiTheme="minorHAnsi" w:cstheme="minorHAnsi"/>
          <w:b/>
        </w:rPr>
        <w:t>Recorrente</w:t>
      </w:r>
      <w:r w:rsidR="00C3123D" w:rsidRPr="00862F56">
        <w:rPr>
          <w:rFonts w:asciiTheme="minorHAnsi" w:hAnsiTheme="minorHAnsi" w:cstheme="minorHAnsi"/>
          <w:b/>
        </w:rPr>
        <w:t xml:space="preserve"> - </w:t>
      </w:r>
      <w:r w:rsidR="00862F56" w:rsidRPr="00862F56">
        <w:rPr>
          <w:rFonts w:asciiTheme="minorHAnsi" w:hAnsiTheme="minorHAnsi" w:cstheme="minorHAnsi"/>
          <w:b/>
        </w:rPr>
        <w:t xml:space="preserve">Carmen Vivian </w:t>
      </w:r>
      <w:proofErr w:type="spellStart"/>
      <w:r w:rsidR="00862F56" w:rsidRPr="00862F56">
        <w:rPr>
          <w:rFonts w:asciiTheme="minorHAnsi" w:hAnsiTheme="minorHAnsi" w:cstheme="minorHAnsi"/>
          <w:b/>
        </w:rPr>
        <w:t>Jabra</w:t>
      </w:r>
      <w:proofErr w:type="spellEnd"/>
      <w:r w:rsidR="00862F56" w:rsidRPr="00862F56">
        <w:rPr>
          <w:rFonts w:asciiTheme="minorHAnsi" w:hAnsiTheme="minorHAnsi" w:cstheme="minorHAnsi"/>
          <w:b/>
        </w:rPr>
        <w:t xml:space="preserve"> </w:t>
      </w:r>
      <w:proofErr w:type="spellStart"/>
      <w:r w:rsidR="00862F56" w:rsidRPr="00862F56">
        <w:rPr>
          <w:rFonts w:asciiTheme="minorHAnsi" w:hAnsiTheme="minorHAnsi" w:cstheme="minorHAnsi"/>
          <w:b/>
        </w:rPr>
        <w:t>Anffe</w:t>
      </w:r>
      <w:proofErr w:type="spellEnd"/>
      <w:r w:rsidR="00862F56" w:rsidRPr="00862F56">
        <w:rPr>
          <w:rFonts w:asciiTheme="minorHAnsi" w:hAnsiTheme="minorHAnsi" w:cstheme="minorHAnsi"/>
          <w:b/>
        </w:rPr>
        <w:t xml:space="preserve"> Pinto Costa </w:t>
      </w:r>
      <w:proofErr w:type="spellStart"/>
      <w:r w:rsidR="00862F56" w:rsidRPr="00862F56">
        <w:rPr>
          <w:rFonts w:asciiTheme="minorHAnsi" w:hAnsiTheme="minorHAnsi" w:cstheme="minorHAnsi"/>
          <w:b/>
        </w:rPr>
        <w:t>Salla</w:t>
      </w:r>
      <w:proofErr w:type="spellEnd"/>
      <w:r w:rsidR="00862F56" w:rsidRPr="00862F56">
        <w:rPr>
          <w:rFonts w:asciiTheme="minorHAnsi" w:hAnsiTheme="minorHAnsi" w:cstheme="minorHAnsi"/>
          <w:b/>
        </w:rPr>
        <w:t>.</w:t>
      </w:r>
    </w:p>
    <w:p w:rsidR="00E67A48" w:rsidRPr="00862F56" w:rsidRDefault="00EE0FB1" w:rsidP="00E67A48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 xml:space="preserve">Auto de Infração n. </w:t>
      </w:r>
      <w:r w:rsidR="00862F56" w:rsidRPr="00862F56">
        <w:rPr>
          <w:rFonts w:asciiTheme="minorHAnsi" w:hAnsiTheme="minorHAnsi" w:cstheme="minorHAnsi"/>
        </w:rPr>
        <w:t>122714, de 05/01/2010.</w:t>
      </w:r>
    </w:p>
    <w:p w:rsidR="00862F56" w:rsidRPr="00862F56" w:rsidRDefault="00862F56" w:rsidP="006B0F87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 xml:space="preserve">Relator - Mateus </w:t>
      </w:r>
      <w:proofErr w:type="spellStart"/>
      <w:r w:rsidRPr="00862F56">
        <w:rPr>
          <w:rFonts w:asciiTheme="minorHAnsi" w:hAnsiTheme="minorHAnsi" w:cstheme="minorHAnsi"/>
        </w:rPr>
        <w:t>Brun</w:t>
      </w:r>
      <w:proofErr w:type="spellEnd"/>
      <w:r w:rsidRPr="00862F56">
        <w:rPr>
          <w:rFonts w:asciiTheme="minorHAnsi" w:hAnsiTheme="minorHAnsi" w:cstheme="minorHAnsi"/>
        </w:rPr>
        <w:t xml:space="preserve"> de Souza – FÉ e VIDA.</w:t>
      </w:r>
    </w:p>
    <w:p w:rsidR="00862F56" w:rsidRPr="00862F56" w:rsidRDefault="00862F56" w:rsidP="006B0F87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>Advogada – Marília Moreira de Castilho – OAB/MT 8.287.</w:t>
      </w:r>
    </w:p>
    <w:p w:rsidR="00273671" w:rsidRPr="00862F56" w:rsidRDefault="00A341F5" w:rsidP="006B0F87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>3</w:t>
      </w:r>
      <w:r w:rsidR="00E23E85" w:rsidRPr="00862F56">
        <w:rPr>
          <w:rFonts w:asciiTheme="minorHAnsi" w:hAnsiTheme="minorHAnsi" w:cstheme="minorHAnsi"/>
        </w:rPr>
        <w:t>ª Junta de Julgamento de Recursos.</w:t>
      </w:r>
    </w:p>
    <w:p w:rsidR="00EE0FB1" w:rsidRPr="00862F56" w:rsidRDefault="00597045" w:rsidP="00EE0F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373</w:t>
      </w:r>
      <w:bookmarkStart w:id="0" w:name="_GoBack"/>
      <w:bookmarkEnd w:id="0"/>
      <w:r w:rsidR="00E23E85" w:rsidRPr="00862F56">
        <w:rPr>
          <w:rFonts w:asciiTheme="minorHAnsi" w:hAnsiTheme="minorHAnsi" w:cstheme="minorHAnsi"/>
          <w:b/>
        </w:rPr>
        <w:t>/202</w:t>
      </w:r>
      <w:r w:rsidR="007E6CF8" w:rsidRPr="00862F56">
        <w:rPr>
          <w:rFonts w:asciiTheme="minorHAnsi" w:hAnsiTheme="minorHAnsi" w:cstheme="minorHAnsi"/>
          <w:b/>
        </w:rPr>
        <w:t>1</w:t>
      </w:r>
    </w:p>
    <w:p w:rsidR="002623D1" w:rsidRPr="00862F56" w:rsidRDefault="002623D1" w:rsidP="00EE0FB1">
      <w:pPr>
        <w:jc w:val="center"/>
        <w:rPr>
          <w:rFonts w:asciiTheme="minorHAnsi" w:hAnsiTheme="minorHAnsi" w:cstheme="minorHAnsi"/>
          <w:b/>
        </w:rPr>
      </w:pPr>
    </w:p>
    <w:p w:rsidR="00862F56" w:rsidRPr="00862F56" w:rsidRDefault="00862F56" w:rsidP="00D50F11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>Auto de Infração n. 122714, de 05/01/2010. Por ter desmatado 70, 995 hectares em área de reserva legal sem a licença outorgada pela autoridade competente conforme solicitação corte no papiro 95 do processo 331642/2009 de 15/05/2009. Decisão Administrativa n°. 2274/SPA/SEMA/2018, de 16/10/2018, pela homologação do Auto de Infração n. 122714, de 05/01/2010, arbitrando multa de R$ 354.976,00 (trezentos e cinquenta e quatro mil, novecentos e setenta e seis reais), com fulcro no artigo 51 do Decreto Federal 6514/2008. Requer o recorrente que seja declarada em preliminar a prescrição intercorrente e prescrição da pretensão punitiva propriamente dita, pelo decurso do tempo de lavratura de auto de infração e autuação do processo administrativo, e após, instrução processual administrativa pela Secretaria Estadual do Meio Ambiente até decisão final. Seja reformada a referida decisão n° 2274/SPA/SEMA/2018, que manteve a multa aplicada no auto de infração, sem analisar as teses e fundamentos apresentados pela recorrente, quanto ao erro das coordenadas geográficas quanto a localização exata do desmate, tornando-se nulo o auto de infração. Quanto a regularização da propriedade rural nos programas e projetos do Governo como MT legal e Portaria n° 032, mesmo, havendo provas e documentos nos autos que corroboravam com as alegações mencionadas. Recurso provido.</w:t>
      </w:r>
    </w:p>
    <w:p w:rsidR="00862F56" w:rsidRPr="00862F56" w:rsidRDefault="00862F56" w:rsidP="00D50F11">
      <w:pPr>
        <w:jc w:val="both"/>
        <w:rPr>
          <w:rFonts w:asciiTheme="minorHAnsi" w:hAnsiTheme="minorHAnsi" w:cstheme="minorHAnsi"/>
        </w:rPr>
      </w:pPr>
    </w:p>
    <w:p w:rsidR="00ED5CB2" w:rsidRPr="00862F56" w:rsidRDefault="00270AA2" w:rsidP="00CB5DDF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  <w:color w:val="000000"/>
        </w:rPr>
        <w:t>Vistos, relatados e discu</w:t>
      </w:r>
      <w:r w:rsidR="004D280A" w:rsidRPr="00862F56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862F56">
        <w:rPr>
          <w:rFonts w:asciiTheme="minorHAnsi" w:hAnsiTheme="minorHAnsi" w:cstheme="minorHAnsi"/>
          <w:color w:val="000000"/>
        </w:rPr>
        <w:t>3</w:t>
      </w:r>
      <w:r w:rsidRPr="00862F56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62F56">
        <w:rPr>
          <w:rFonts w:asciiTheme="minorHAnsi" w:hAnsiTheme="minorHAnsi" w:cstheme="minorHAnsi"/>
          <w:color w:val="000000"/>
        </w:rPr>
        <w:t>Recursos</w:t>
      </w:r>
      <w:r w:rsidR="005F61B6" w:rsidRPr="00862F56">
        <w:rPr>
          <w:rFonts w:asciiTheme="minorHAnsi" w:hAnsiTheme="minorHAnsi" w:cstheme="minorHAnsi"/>
          <w:color w:val="000000"/>
        </w:rPr>
        <w:t>,</w:t>
      </w:r>
      <w:r w:rsidR="00862F56" w:rsidRPr="00862F56">
        <w:rPr>
          <w:rFonts w:asciiTheme="minorHAnsi" w:hAnsiTheme="minorHAnsi" w:cstheme="minorHAnsi"/>
        </w:rPr>
        <w:t xml:space="preserve"> por maioria, dar provimento ao recurso interposto pelo recorrente,</w:t>
      </w:r>
      <w:r w:rsidR="00CE6A5A">
        <w:rPr>
          <w:rFonts w:asciiTheme="minorHAnsi" w:hAnsiTheme="minorHAnsi" w:cstheme="minorHAnsi"/>
        </w:rPr>
        <w:t xml:space="preserve"> acolhendo o voto divergente da </w:t>
      </w:r>
      <w:r w:rsidR="00862F56" w:rsidRPr="00862F56">
        <w:rPr>
          <w:rFonts w:asciiTheme="minorHAnsi" w:hAnsiTheme="minorHAnsi" w:cstheme="minorHAnsi"/>
        </w:rPr>
        <w:t>representante da ADE, reconhecendo a prescrição intercorrente, de Decisão Interlocutória n° 2255/SPA/SEMA/2011, de 10/10/2011, (fl. 52 – Versus) até a Decisão Administrativa n°. 2274/SPA/SEMA/2018, de 16/10/2018, (fls. 79/80 – Versus), ficando o processo paralisado por mais de 3 (três) anos sem decisão adminis</w:t>
      </w:r>
      <w:r w:rsidR="0043473D">
        <w:rPr>
          <w:rFonts w:asciiTheme="minorHAnsi" w:hAnsiTheme="minorHAnsi" w:cstheme="minorHAnsi"/>
        </w:rPr>
        <w:t>trativa. Decidiram</w:t>
      </w:r>
      <w:r w:rsidR="00862F56" w:rsidRPr="00862F56">
        <w:rPr>
          <w:rFonts w:asciiTheme="minorHAnsi" w:hAnsiTheme="minorHAnsi" w:cstheme="minorHAnsi"/>
        </w:rPr>
        <w:t xml:space="preserve"> pela anulação do referido Auto de Infração n° 122714, de 05/01/2010, e, por conseguinte pelo arquivamento dos autos.</w:t>
      </w:r>
    </w:p>
    <w:p w:rsidR="00655CAF" w:rsidRPr="00862F56" w:rsidRDefault="00655CAF" w:rsidP="00655CAF">
      <w:pPr>
        <w:jc w:val="both"/>
        <w:rPr>
          <w:rFonts w:asciiTheme="minorHAnsi" w:hAnsiTheme="minorHAnsi" w:cstheme="minorHAnsi"/>
        </w:rPr>
      </w:pPr>
      <w:r w:rsidRPr="00862F56">
        <w:rPr>
          <w:rFonts w:asciiTheme="minorHAnsi" w:hAnsiTheme="minorHAnsi" w:cstheme="minorHAnsi"/>
        </w:rPr>
        <w:t>Presentes à votação os seguintes membros:</w:t>
      </w:r>
    </w:p>
    <w:p w:rsidR="00A341F5" w:rsidRPr="00862F56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862F56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862F56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</w:t>
      </w:r>
      <w:r w:rsidRPr="00862F56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</w:t>
      </w:r>
      <w:r w:rsidRPr="00862F56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</w:t>
      </w:r>
      <w:r w:rsidRPr="00862F56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862F56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862F56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862F56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</w:t>
      </w:r>
      <w:r w:rsidRPr="00862F56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</w:t>
      </w:r>
      <w:r w:rsidRPr="00862F56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</w:t>
      </w:r>
      <w:r w:rsidRPr="00862F56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862F56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862F56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62F56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862F56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F56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862F56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862F56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862F56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862F56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862F56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2F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862F56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862F5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862F5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3473D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97045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E6A5A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02B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E320-071B-4E35-A678-FB0FCE00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2021-11-25T17:42:00Z</dcterms:created>
  <dcterms:modified xsi:type="dcterms:W3CDTF">2021-11-30T17:27:00Z</dcterms:modified>
</cp:coreProperties>
</file>